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X="-450" w:tblpY="438"/>
        <w:tblW w:w="10806" w:type="dxa"/>
        <w:tblLayout w:type="fixed"/>
        <w:tblLook w:val="04A0" w:firstRow="1" w:lastRow="0" w:firstColumn="1" w:lastColumn="0" w:noHBand="0" w:noVBand="1"/>
      </w:tblPr>
      <w:tblGrid>
        <w:gridCol w:w="6210"/>
        <w:gridCol w:w="900"/>
        <w:gridCol w:w="1090"/>
        <w:gridCol w:w="1347"/>
        <w:gridCol w:w="1259"/>
      </w:tblGrid>
      <w:tr w:rsidR="008D576E" w:rsidRPr="009C5C76" w14:paraId="0F1E1F11" w14:textId="77777777" w:rsidTr="00B31E65">
        <w:trPr>
          <w:trHeight w:val="620"/>
        </w:trPr>
        <w:tc>
          <w:tcPr>
            <w:tcW w:w="711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4B083" w:themeColor="accent2" w:themeTint="99"/>
            </w:tcBorders>
            <w:shd w:val="clear" w:color="auto" w:fill="FF7E15"/>
          </w:tcPr>
          <w:p w14:paraId="37DD28DD" w14:textId="77777777" w:rsidR="005612FA" w:rsidRPr="009C5C76" w:rsidRDefault="005612FA" w:rsidP="00B31E65">
            <w:pPr>
              <w:spacing w:after="0" w:line="240" w:lineRule="auto"/>
              <w:ind w:left="113" w:right="113"/>
              <w:rPr>
                <w:rFonts w:ascii="Helvetica" w:eastAsia="Times New Roman" w:hAnsi="Helvetica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090" w:type="dxa"/>
            <w:tcBorders>
              <w:top w:val="nil"/>
              <w:left w:val="single" w:sz="4" w:space="0" w:color="F4B083" w:themeColor="accent2" w:themeTint="99"/>
              <w:bottom w:val="single" w:sz="4" w:space="0" w:color="D9D9D9" w:themeColor="background1" w:themeShade="D9"/>
              <w:right w:val="single" w:sz="4" w:space="0" w:color="F4B083" w:themeColor="accent2" w:themeTint="99"/>
            </w:tcBorders>
            <w:shd w:val="clear" w:color="auto" w:fill="FF7E15"/>
            <w:vAlign w:val="center"/>
          </w:tcPr>
          <w:p w14:paraId="3A75812D" w14:textId="77777777" w:rsidR="005612FA" w:rsidRPr="009C5C76" w:rsidRDefault="005612FA" w:rsidP="00B31E65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In place</w:t>
            </w:r>
          </w:p>
        </w:tc>
        <w:tc>
          <w:tcPr>
            <w:tcW w:w="1347" w:type="dxa"/>
            <w:tcBorders>
              <w:top w:val="nil"/>
              <w:left w:val="single" w:sz="4" w:space="0" w:color="F4B083" w:themeColor="accent2" w:themeTint="99"/>
              <w:bottom w:val="single" w:sz="4" w:space="0" w:color="D9D9D9" w:themeColor="background1" w:themeShade="D9"/>
              <w:right w:val="single" w:sz="4" w:space="0" w:color="F4B083" w:themeColor="accent2" w:themeTint="99"/>
            </w:tcBorders>
            <w:shd w:val="clear" w:color="auto" w:fill="FF7E15"/>
            <w:vAlign w:val="center"/>
          </w:tcPr>
          <w:p w14:paraId="48E95B7C" w14:textId="77777777" w:rsidR="005612FA" w:rsidRPr="009C5C76" w:rsidRDefault="005612FA" w:rsidP="00B31E65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In progress</w:t>
            </w:r>
          </w:p>
        </w:tc>
        <w:tc>
          <w:tcPr>
            <w:tcW w:w="1259" w:type="dxa"/>
            <w:tcBorders>
              <w:top w:val="nil"/>
              <w:left w:val="single" w:sz="4" w:space="0" w:color="F4B083" w:themeColor="accent2" w:themeTint="99"/>
              <w:bottom w:val="single" w:sz="4" w:space="0" w:color="D9D9D9" w:themeColor="background1" w:themeShade="D9"/>
              <w:right w:val="nil"/>
            </w:tcBorders>
            <w:shd w:val="clear" w:color="auto" w:fill="FF7E15"/>
            <w:vAlign w:val="center"/>
          </w:tcPr>
          <w:p w14:paraId="3B679078" w14:textId="77777777" w:rsidR="005612FA" w:rsidRPr="009C5C76" w:rsidRDefault="005612FA" w:rsidP="00B31E65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Not yet started</w:t>
            </w:r>
          </w:p>
        </w:tc>
      </w:tr>
      <w:tr w:rsidR="008D576E" w:rsidRPr="009C5C76" w14:paraId="1B3C7CDA" w14:textId="77777777" w:rsidTr="00B31E65">
        <w:trPr>
          <w:trHeight w:val="576"/>
        </w:trPr>
        <w:tc>
          <w:tcPr>
            <w:tcW w:w="6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9A8FFE" w14:textId="77777777" w:rsidR="005612FA" w:rsidRPr="00B31E65" w:rsidRDefault="005612FA" w:rsidP="00B31E65">
            <w:pPr>
              <w:spacing w:after="0" w:line="240" w:lineRule="auto"/>
              <w:rPr>
                <w:rFonts w:ascii="Helvetica" w:eastAsia="Times New Roman" w:hAnsi="Helvetica"/>
                <w:bCs/>
                <w:sz w:val="18"/>
                <w:szCs w:val="18"/>
              </w:rPr>
            </w:pPr>
            <w:r w:rsidRPr="00B31E65">
              <w:rPr>
                <w:rFonts w:ascii="Helvetica" w:eastAsia="Times New Roman" w:hAnsi="Helvetica"/>
                <w:bCs/>
                <w:sz w:val="18"/>
                <w:szCs w:val="18"/>
              </w:rPr>
              <w:t>1. A team exists that addresses schoolwide SEL.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92BB51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Status</w:t>
            </w:r>
          </w:p>
        </w:tc>
        <w:tc>
          <w:tcPr>
            <w:tcW w:w="1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290D89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3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F90508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2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1642C998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8D576E" w:rsidRPr="009C5C76" w14:paraId="7E9BC14C" w14:textId="77777777" w:rsidTr="00B31E65">
        <w:trPr>
          <w:trHeight w:val="1409"/>
        </w:trPr>
        <w:tc>
          <w:tcPr>
            <w:tcW w:w="6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8E663F" w14:textId="77777777" w:rsidR="005612FA" w:rsidRPr="00B31E65" w:rsidRDefault="005612FA" w:rsidP="00B31E65">
            <w:pPr>
              <w:spacing w:after="0" w:line="240" w:lineRule="auto"/>
              <w:rPr>
                <w:rFonts w:ascii="Helvetica" w:eastAsia="Times New Roman" w:hAnsi="Helvetica"/>
                <w:bCs/>
                <w:sz w:val="18"/>
                <w:szCs w:val="18"/>
              </w:rPr>
            </w:pPr>
            <w:r w:rsidRPr="00B31E65">
              <w:rPr>
                <w:rFonts w:ascii="Helvetica" w:eastAsia="Times New Roman" w:hAnsi="Helvetica"/>
                <w:bCs/>
                <w:sz w:val="18"/>
                <w:szCs w:val="18"/>
              </w:rPr>
              <w:t>2. Team members, including at least one administrator, represent varied backgrounds and areas of expertise.</w:t>
            </w:r>
          </w:p>
          <w:p w14:paraId="43F581C9" w14:textId="789DD891" w:rsidR="005612FA" w:rsidRPr="00B31E65" w:rsidRDefault="005612FA" w:rsidP="00B31E65">
            <w:pPr>
              <w:spacing w:after="0" w:line="240" w:lineRule="auto"/>
              <w:rPr>
                <w:rFonts w:ascii="Helvetica" w:eastAsia="Times New Roman" w:hAnsi="Helvetica"/>
                <w:bCs/>
                <w:sz w:val="16"/>
                <w:szCs w:val="16"/>
              </w:rPr>
            </w:pPr>
            <w:r w:rsidRPr="00B31E65">
              <w:rPr>
                <w:rFonts w:ascii="Helvetica" w:eastAsia="Times New Roman" w:hAnsi="Helvetica"/>
                <w:bCs/>
                <w:sz w:val="16"/>
                <w:szCs w:val="16"/>
              </w:rPr>
              <w:t>Ex: administrator, counselor, general education teachers, special educators, security, dean, families, students, other non-certified staff, restorative practices coach,</w:t>
            </w:r>
            <w:r w:rsidR="00DE31EA" w:rsidRPr="00B31E65">
              <w:rPr>
                <w:rFonts w:ascii="Helvetica" w:eastAsia="Times New Roman" w:hAnsi="Helvetica"/>
                <w:bCs/>
                <w:sz w:val="16"/>
                <w:szCs w:val="16"/>
              </w:rPr>
              <w:t xml:space="preserve"> site-based out-of-school-time providers,</w:t>
            </w:r>
            <w:r w:rsidRPr="00B31E65">
              <w:rPr>
                <w:rFonts w:ascii="Helvetica" w:eastAsia="Times New Roman" w:hAnsi="Helvetica"/>
                <w:bCs/>
                <w:sz w:val="16"/>
                <w:szCs w:val="16"/>
              </w:rPr>
              <w:t xml:space="preserve"> etc.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80E272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Status</w:t>
            </w:r>
          </w:p>
        </w:tc>
        <w:tc>
          <w:tcPr>
            <w:tcW w:w="1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7C14DE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3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39603E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2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A2DEAF6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8D576E" w:rsidRPr="009C5C76" w14:paraId="5A9EA17E" w14:textId="77777777" w:rsidTr="00B31E65">
        <w:trPr>
          <w:trHeight w:val="720"/>
        </w:trPr>
        <w:tc>
          <w:tcPr>
            <w:tcW w:w="6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5369F6" w14:textId="77777777" w:rsidR="005612FA" w:rsidRPr="00B31E65" w:rsidRDefault="005612FA" w:rsidP="00B31E65">
            <w:pPr>
              <w:spacing w:after="0" w:line="240" w:lineRule="auto"/>
              <w:rPr>
                <w:rFonts w:ascii="Helvetica" w:eastAsia="Times New Roman" w:hAnsi="Helvetica"/>
                <w:bCs/>
                <w:sz w:val="18"/>
                <w:szCs w:val="18"/>
              </w:rPr>
            </w:pPr>
            <w:r w:rsidRPr="00B31E65">
              <w:rPr>
                <w:rFonts w:ascii="Helvetica" w:eastAsia="Times New Roman" w:hAnsi="Helvetica"/>
                <w:bCs/>
                <w:sz w:val="18"/>
                <w:szCs w:val="18"/>
              </w:rPr>
              <w:t>3. The team meets at least once monthly with a set agenda and recorded minutes.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14C4D3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Status</w:t>
            </w:r>
          </w:p>
        </w:tc>
        <w:tc>
          <w:tcPr>
            <w:tcW w:w="1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ECFD746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3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8285C1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2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851F130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8D576E" w:rsidRPr="009C5C76" w14:paraId="34EAA9FF" w14:textId="77777777" w:rsidTr="00B31E65">
        <w:trPr>
          <w:trHeight w:val="900"/>
        </w:trPr>
        <w:tc>
          <w:tcPr>
            <w:tcW w:w="6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A63D90" w14:textId="7966345C" w:rsidR="005612FA" w:rsidRPr="00B31E65" w:rsidRDefault="005612FA" w:rsidP="00B31E65">
            <w:pPr>
              <w:spacing w:after="0" w:line="240" w:lineRule="auto"/>
              <w:rPr>
                <w:rFonts w:ascii="Helvetica" w:eastAsia="Times New Roman" w:hAnsi="Helvetica"/>
                <w:bCs/>
                <w:sz w:val="18"/>
                <w:szCs w:val="18"/>
              </w:rPr>
            </w:pPr>
            <w:r w:rsidRPr="00B31E65">
              <w:rPr>
                <w:rFonts w:ascii="Helvetica" w:eastAsia="Times New Roman" w:hAnsi="Helvetica"/>
                <w:bCs/>
                <w:sz w:val="18"/>
                <w:szCs w:val="18"/>
              </w:rPr>
              <w:t xml:space="preserve">4. The team utilizes a democratic process for decision making </w:t>
            </w:r>
            <w:r w:rsidR="009C5C76" w:rsidRPr="00B31E65">
              <w:rPr>
                <w:rFonts w:ascii="Helvetica" w:eastAsia="Times New Roman" w:hAnsi="Helvetica"/>
                <w:bCs/>
                <w:sz w:val="18"/>
                <w:szCs w:val="18"/>
              </w:rPr>
              <w:br/>
            </w:r>
            <w:r w:rsidRPr="00B31E65">
              <w:rPr>
                <w:rFonts w:ascii="Helvetica" w:eastAsia="Times New Roman" w:hAnsi="Helvetica"/>
                <w:bCs/>
                <w:sz w:val="16"/>
                <w:szCs w:val="16"/>
              </w:rPr>
              <w:t>(e.g., voting or cons</w:t>
            </w:r>
            <w:r w:rsidR="00F378AC" w:rsidRPr="00B31E65">
              <w:rPr>
                <w:rFonts w:ascii="Helvetica" w:eastAsia="Times New Roman" w:hAnsi="Helvetica"/>
                <w:bCs/>
                <w:sz w:val="16"/>
                <w:szCs w:val="16"/>
              </w:rPr>
              <w:t xml:space="preserve">ensus). Team consults the whole </w:t>
            </w:r>
            <w:r w:rsidRPr="00B31E65">
              <w:rPr>
                <w:rFonts w:ascii="Helvetica" w:eastAsia="Times New Roman" w:hAnsi="Helvetica"/>
                <w:bCs/>
                <w:sz w:val="16"/>
                <w:szCs w:val="16"/>
              </w:rPr>
              <w:t xml:space="preserve">staff </w:t>
            </w:r>
            <w:r w:rsidR="00F378AC" w:rsidRPr="00B31E65">
              <w:rPr>
                <w:rFonts w:ascii="Helvetica" w:eastAsia="Times New Roman" w:hAnsi="Helvetica"/>
                <w:bCs/>
                <w:sz w:val="16"/>
                <w:szCs w:val="16"/>
              </w:rPr>
              <w:t xml:space="preserve">and core out-of-school-time providers </w:t>
            </w:r>
            <w:r w:rsidRPr="00B31E65">
              <w:rPr>
                <w:rFonts w:ascii="Helvetica" w:eastAsia="Times New Roman" w:hAnsi="Helvetica"/>
                <w:bCs/>
                <w:sz w:val="16"/>
                <w:szCs w:val="16"/>
              </w:rPr>
              <w:t>when developing policies that impact all.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94682D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Status</w:t>
            </w:r>
          </w:p>
        </w:tc>
        <w:tc>
          <w:tcPr>
            <w:tcW w:w="1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6D35ED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3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BAAC0C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2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A673861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8D576E" w:rsidRPr="009C5C76" w14:paraId="11AB49DB" w14:textId="77777777" w:rsidTr="00B31E65">
        <w:trPr>
          <w:trHeight w:val="864"/>
        </w:trPr>
        <w:tc>
          <w:tcPr>
            <w:tcW w:w="6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9885D6D" w14:textId="77777777" w:rsidR="005612FA" w:rsidRPr="00B31E65" w:rsidRDefault="005612FA" w:rsidP="00B31E65">
            <w:pPr>
              <w:spacing w:after="0" w:line="240" w:lineRule="auto"/>
              <w:rPr>
                <w:rFonts w:ascii="Helvetica" w:eastAsia="Times New Roman" w:hAnsi="Helvetica"/>
                <w:bCs/>
                <w:sz w:val="18"/>
                <w:szCs w:val="18"/>
              </w:rPr>
            </w:pPr>
            <w:r w:rsidRPr="00B31E65">
              <w:rPr>
                <w:rFonts w:ascii="Helvetica" w:eastAsia="Times New Roman" w:hAnsi="Helvetica"/>
                <w:bCs/>
                <w:sz w:val="18"/>
                <w:szCs w:val="18"/>
              </w:rPr>
              <w:t>5. The team provides professional learning so that all staff are familiar with the fundamentals of schoolwide SEL and their role in that process.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74E481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Status</w:t>
            </w:r>
          </w:p>
        </w:tc>
        <w:tc>
          <w:tcPr>
            <w:tcW w:w="1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26F14C2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3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7C45E6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2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C923FEC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8D576E" w:rsidRPr="009C5C76" w14:paraId="5509D848" w14:textId="77777777" w:rsidTr="00B31E65">
        <w:trPr>
          <w:trHeight w:val="1013"/>
        </w:trPr>
        <w:tc>
          <w:tcPr>
            <w:tcW w:w="6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3D199E" w14:textId="77777777" w:rsidR="005612FA" w:rsidRPr="00B31E65" w:rsidRDefault="005612FA" w:rsidP="00B31E65">
            <w:pPr>
              <w:spacing w:after="0" w:line="240" w:lineRule="auto"/>
              <w:rPr>
                <w:rFonts w:ascii="Helvetica" w:eastAsia="Times New Roman" w:hAnsi="Helvetica"/>
                <w:bCs/>
                <w:sz w:val="18"/>
                <w:szCs w:val="18"/>
              </w:rPr>
            </w:pPr>
            <w:r w:rsidRPr="00B31E65">
              <w:rPr>
                <w:rFonts w:ascii="Helvetica" w:eastAsia="Times New Roman" w:hAnsi="Helvetica"/>
                <w:bCs/>
                <w:sz w:val="18"/>
                <w:szCs w:val="18"/>
              </w:rPr>
              <w:t>6. The team has an effective strategy to communicate data, decisions, next steps, and celebrations to staff, families, and students on a regular basis.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0CB20C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Status</w:t>
            </w:r>
          </w:p>
        </w:tc>
        <w:tc>
          <w:tcPr>
            <w:tcW w:w="1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171C5A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3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A75FB2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2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10EEF95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8D576E" w:rsidRPr="009C5C76" w14:paraId="3103AD00" w14:textId="77777777" w:rsidTr="00B31E65">
        <w:trPr>
          <w:trHeight w:val="720"/>
        </w:trPr>
        <w:tc>
          <w:tcPr>
            <w:tcW w:w="6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BB21FD" w14:textId="77777777" w:rsidR="005612FA" w:rsidRPr="00B31E65" w:rsidRDefault="005612FA" w:rsidP="00B31E65">
            <w:pPr>
              <w:spacing w:after="0" w:line="240" w:lineRule="auto"/>
              <w:rPr>
                <w:rFonts w:ascii="Helvetica" w:eastAsia="Times New Roman" w:hAnsi="Helvetica"/>
                <w:bCs/>
                <w:sz w:val="18"/>
                <w:szCs w:val="18"/>
              </w:rPr>
            </w:pPr>
            <w:r w:rsidRPr="00B31E65">
              <w:rPr>
                <w:rFonts w:ascii="Helvetica" w:eastAsia="Times New Roman" w:hAnsi="Helvetica"/>
                <w:bCs/>
                <w:sz w:val="18"/>
                <w:szCs w:val="18"/>
              </w:rPr>
              <w:t>7. The team addresses schoolwide systems, data, and practices rather than discussing individual students.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13CCF7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Status</w:t>
            </w:r>
          </w:p>
        </w:tc>
        <w:tc>
          <w:tcPr>
            <w:tcW w:w="1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AAE27E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3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BFCF8B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2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C89E42E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8D576E" w:rsidRPr="009C5C76" w14:paraId="19B57EF2" w14:textId="77777777" w:rsidTr="00B31E65">
        <w:trPr>
          <w:trHeight w:val="576"/>
        </w:trPr>
        <w:tc>
          <w:tcPr>
            <w:tcW w:w="6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10AF3D" w14:textId="77777777" w:rsidR="005612FA" w:rsidRPr="00B31E65" w:rsidRDefault="005612FA" w:rsidP="00B31E65">
            <w:pPr>
              <w:spacing w:after="0" w:line="240" w:lineRule="auto"/>
              <w:rPr>
                <w:rFonts w:ascii="Helvetica" w:eastAsia="Times New Roman" w:hAnsi="Helvetica"/>
                <w:bCs/>
                <w:sz w:val="18"/>
                <w:szCs w:val="18"/>
              </w:rPr>
            </w:pPr>
            <w:r w:rsidRPr="00B31E65">
              <w:rPr>
                <w:rFonts w:ascii="Helvetica" w:eastAsia="Times New Roman" w:hAnsi="Helvetica"/>
                <w:bCs/>
                <w:sz w:val="18"/>
                <w:szCs w:val="18"/>
              </w:rPr>
              <w:t>8. The team has viewing privileges for the school’s discipline data.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1FB9FD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Status</w:t>
            </w:r>
          </w:p>
        </w:tc>
        <w:tc>
          <w:tcPr>
            <w:tcW w:w="1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2ED816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3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2467D0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2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7AF434B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8D576E" w:rsidRPr="009C5C76" w14:paraId="6CEDF509" w14:textId="77777777" w:rsidTr="00B31E65">
        <w:trPr>
          <w:trHeight w:val="576"/>
        </w:trPr>
        <w:tc>
          <w:tcPr>
            <w:tcW w:w="6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D3D690" w14:textId="77777777" w:rsidR="005612FA" w:rsidRPr="00B31E65" w:rsidRDefault="005612FA" w:rsidP="00B31E65">
            <w:pPr>
              <w:spacing w:after="0" w:line="240" w:lineRule="auto"/>
              <w:rPr>
                <w:rFonts w:ascii="Helvetica" w:eastAsia="Times New Roman" w:hAnsi="Helvetica"/>
                <w:bCs/>
                <w:sz w:val="18"/>
                <w:szCs w:val="18"/>
              </w:rPr>
            </w:pPr>
            <w:r w:rsidRPr="00B31E65">
              <w:rPr>
                <w:rFonts w:ascii="Helvetica" w:eastAsia="Times New Roman" w:hAnsi="Helvetica"/>
                <w:bCs/>
                <w:sz w:val="18"/>
                <w:szCs w:val="18"/>
              </w:rPr>
              <w:t xml:space="preserve">9. The team brings data to each meeting. 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DB4B8B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Status</w:t>
            </w:r>
          </w:p>
        </w:tc>
        <w:tc>
          <w:tcPr>
            <w:tcW w:w="1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EE0FA7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3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DB52C2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2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202B530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B75489" w:rsidRPr="009C5C76" w14:paraId="185469AF" w14:textId="77777777" w:rsidTr="00B31E65">
        <w:trPr>
          <w:trHeight w:val="720"/>
        </w:trPr>
        <w:tc>
          <w:tcPr>
            <w:tcW w:w="621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DE4B2F" w14:textId="28479BB9" w:rsidR="005612FA" w:rsidRPr="00B31E65" w:rsidRDefault="005612FA" w:rsidP="00B31E65">
            <w:pPr>
              <w:spacing w:after="0" w:line="240" w:lineRule="auto"/>
              <w:rPr>
                <w:rFonts w:ascii="Helvetica" w:eastAsia="Times New Roman" w:hAnsi="Helvetica"/>
                <w:bCs/>
                <w:sz w:val="18"/>
                <w:szCs w:val="18"/>
              </w:rPr>
            </w:pPr>
            <w:r w:rsidRPr="00B31E65">
              <w:rPr>
                <w:rFonts w:ascii="Helvetica" w:eastAsia="Times New Roman" w:hAnsi="Helvetica"/>
                <w:bCs/>
                <w:sz w:val="18"/>
                <w:szCs w:val="18"/>
              </w:rPr>
              <w:t>10. The</w:t>
            </w:r>
            <w:r w:rsidR="00CA3620" w:rsidRPr="00B31E65">
              <w:rPr>
                <w:rFonts w:ascii="Helvetica" w:eastAsia="Times New Roman" w:hAnsi="Helvetica"/>
                <w:bCs/>
                <w:sz w:val="18"/>
                <w:szCs w:val="18"/>
              </w:rPr>
              <w:t xml:space="preserve"> team uses data to engage in a continuous improvement process</w:t>
            </w:r>
            <w:r w:rsidRPr="00B31E65">
              <w:rPr>
                <w:rFonts w:ascii="Helvetica" w:eastAsia="Times New Roman" w:hAnsi="Helvetica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F74017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 w:rsidRPr="009C5C76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Status</w:t>
            </w:r>
          </w:p>
        </w:tc>
        <w:tc>
          <w:tcPr>
            <w:tcW w:w="1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626920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3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67E85D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  <w:tc>
          <w:tcPr>
            <w:tcW w:w="12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0849F54E" w14:textId="77777777" w:rsidR="005612FA" w:rsidRPr="009C5C76" w:rsidRDefault="005612FA" w:rsidP="00B31E65">
            <w:pPr>
              <w:spacing w:after="0" w:line="240" w:lineRule="auto"/>
              <w:rPr>
                <w:rFonts w:ascii="Helvetica" w:hAnsi="Helvetica"/>
              </w:rPr>
            </w:pPr>
          </w:p>
        </w:tc>
      </w:tr>
      <w:tr w:rsidR="005612FA" w:rsidRPr="009A2F27" w14:paraId="6C6610FD" w14:textId="77777777" w:rsidTr="00B31E65">
        <w:trPr>
          <w:trHeight w:val="710"/>
        </w:trPr>
        <w:tc>
          <w:tcPr>
            <w:tcW w:w="8200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796728D3" w14:textId="6B09CB6E" w:rsidR="005612FA" w:rsidRPr="009A2F27" w:rsidRDefault="005612FA" w:rsidP="00B31E65">
            <w:pPr>
              <w:spacing w:after="0" w:line="240" w:lineRule="auto"/>
              <w:rPr>
                <w:rFonts w:ascii="Helvetica" w:eastAsia="Times New Roman" w:hAnsi="Helvetica"/>
                <w:b/>
                <w:bCs/>
              </w:rPr>
            </w:pPr>
            <w:r w:rsidRPr="009A2F27">
              <w:rPr>
                <w:rFonts w:ascii="Helvetica" w:eastAsia="Times New Roman" w:hAnsi="Helvetica"/>
                <w:b/>
                <w:bCs/>
              </w:rPr>
              <w:t>C</w:t>
            </w:r>
            <w:r w:rsidR="009A2F27">
              <w:rPr>
                <w:rFonts w:ascii="Helvetica" w:eastAsia="Times New Roman" w:hAnsi="Helvetica"/>
                <w:b/>
                <w:bCs/>
              </w:rPr>
              <w:t>om</w:t>
            </w:r>
            <w:r w:rsidRPr="009A2F27">
              <w:rPr>
                <w:rFonts w:ascii="Helvetica" w:eastAsia="Times New Roman" w:hAnsi="Helvetica"/>
                <w:b/>
                <w:bCs/>
              </w:rPr>
              <w:t>pleted by:</w:t>
            </w:r>
          </w:p>
        </w:tc>
        <w:tc>
          <w:tcPr>
            <w:tcW w:w="2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05962715" w14:textId="4A5AD544" w:rsidR="005612FA" w:rsidRPr="009A2F27" w:rsidRDefault="005612FA" w:rsidP="00B31E65">
            <w:pPr>
              <w:spacing w:after="0" w:line="240" w:lineRule="auto"/>
              <w:rPr>
                <w:rFonts w:ascii="Helvetica" w:hAnsi="Helvetica"/>
                <w:b/>
              </w:rPr>
            </w:pPr>
            <w:r w:rsidRPr="009A2F27">
              <w:rPr>
                <w:rFonts w:ascii="Helvetica" w:hAnsi="Helvetica"/>
                <w:b/>
              </w:rPr>
              <w:t>Date</w:t>
            </w:r>
            <w:r w:rsidR="00B31E65">
              <w:rPr>
                <w:rFonts w:ascii="Helvetica" w:hAnsi="Helvetica"/>
                <w:b/>
              </w:rPr>
              <w:t>:</w:t>
            </w:r>
          </w:p>
        </w:tc>
      </w:tr>
    </w:tbl>
    <w:p w14:paraId="22A6BB3D" w14:textId="780C6C50" w:rsidR="00582A68" w:rsidRPr="00B31E65" w:rsidRDefault="00B31E65" w:rsidP="00B31E65">
      <w:pPr>
        <w:pStyle w:val="Header"/>
        <w:ind w:hanging="450"/>
        <w:rPr>
          <w:rFonts w:ascii="Helvetica" w:hAnsi="Helvetica"/>
          <w:b/>
          <w:color w:val="FF8A14"/>
          <w:sz w:val="26"/>
          <w:szCs w:val="26"/>
        </w:rPr>
      </w:pPr>
      <w:r w:rsidRPr="009A2F27">
        <w:rPr>
          <w:rFonts w:ascii="Helvetica" w:hAnsi="Helvetica"/>
          <w:b/>
          <w:color w:val="FF8A14"/>
          <w:sz w:val="26"/>
          <w:szCs w:val="26"/>
        </w:rPr>
        <w:t>SEL Team Checklis</w:t>
      </w:r>
      <w:r>
        <w:rPr>
          <w:rFonts w:ascii="Helvetica" w:hAnsi="Helvetica"/>
          <w:b/>
          <w:color w:val="FF8A14"/>
          <w:sz w:val="26"/>
          <w:szCs w:val="26"/>
        </w:rPr>
        <w:t>t</w:t>
      </w:r>
    </w:p>
    <w:sectPr w:rsidR="00582A68" w:rsidRPr="00B31E65" w:rsidSect="00B31E65">
      <w:headerReference w:type="default" r:id="rId6"/>
      <w:footerReference w:type="even" r:id="rId7"/>
      <w:footerReference w:type="default" r:id="rId8"/>
      <w:pgSz w:w="12240" w:h="15840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0538F" w14:textId="77777777" w:rsidR="005B6E89" w:rsidRDefault="005B6E89" w:rsidP="005612FA">
      <w:pPr>
        <w:spacing w:after="0" w:line="240" w:lineRule="auto"/>
      </w:pPr>
      <w:r>
        <w:separator/>
      </w:r>
    </w:p>
  </w:endnote>
  <w:endnote w:type="continuationSeparator" w:id="0">
    <w:p w14:paraId="5A535597" w14:textId="77777777" w:rsidR="005B6E89" w:rsidRDefault="005B6E89" w:rsidP="0056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412964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5A9F6E" w14:textId="3C6C6229" w:rsidR="009A2F27" w:rsidRDefault="009A2F27" w:rsidP="001076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E004F5" w14:textId="77777777" w:rsidR="009A2F27" w:rsidRDefault="009A2F27" w:rsidP="009A2F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D541B" w14:textId="77777777" w:rsidR="001263DD" w:rsidRPr="00D1058F" w:rsidRDefault="001263DD" w:rsidP="001263DD">
    <w:pPr>
      <w:pStyle w:val="Footer"/>
      <w:framePr w:wrap="none" w:vAnchor="text" w:hAnchor="margin" w:xAlign="right" w:y="85"/>
      <w:ind w:hanging="450"/>
      <w:jc w:val="right"/>
      <w:rPr>
        <w:rStyle w:val="PageNumber"/>
        <w:rFonts w:ascii="Helvetica" w:hAnsi="Helvetica"/>
        <w:b/>
        <w:sz w:val="18"/>
        <w:szCs w:val="18"/>
      </w:rPr>
    </w:pPr>
    <w:r>
      <w:tab/>
    </w:r>
    <w:sdt>
      <w:sdtPr>
        <w:rPr>
          <w:rStyle w:val="PageNumber"/>
          <w:rFonts w:ascii="Helvetica" w:hAnsi="Helvetica"/>
          <w:b/>
          <w:sz w:val="18"/>
          <w:szCs w:val="18"/>
        </w:rPr>
        <w:id w:val="12961034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sdtContent>
    </w:sdt>
  </w:p>
  <w:p w14:paraId="76B07ACE" w14:textId="77777777" w:rsidR="001263DD" w:rsidRPr="008851B9" w:rsidRDefault="001263DD" w:rsidP="001263DD">
    <w:pPr>
      <w:spacing w:after="0" w:line="240" w:lineRule="auto"/>
      <w:ind w:hanging="450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4DF066C1" w14:textId="76271F38" w:rsidR="002536FA" w:rsidRPr="001263DD" w:rsidRDefault="001263DD" w:rsidP="001263DD">
    <w:pPr>
      <w:ind w:hanging="450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6CF7B" w14:textId="77777777" w:rsidR="005B6E89" w:rsidRDefault="005B6E89" w:rsidP="005612FA">
      <w:pPr>
        <w:spacing w:after="0" w:line="240" w:lineRule="auto"/>
      </w:pPr>
      <w:r>
        <w:separator/>
      </w:r>
    </w:p>
  </w:footnote>
  <w:footnote w:type="continuationSeparator" w:id="0">
    <w:p w14:paraId="209C6AD2" w14:textId="77777777" w:rsidR="005B6E89" w:rsidRDefault="005B6E89" w:rsidP="0056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9FCED" w14:textId="154831A1" w:rsidR="00B31E65" w:rsidRPr="00B31E65" w:rsidRDefault="00B31E65" w:rsidP="00B31E65">
    <w:pPr>
      <w:pStyle w:val="Header"/>
      <w:ind w:hanging="540"/>
      <w:jc w:val="both"/>
    </w:pPr>
    <w:r>
      <w:rPr>
        <w:noProof/>
      </w:rPr>
      <w:drawing>
        <wp:inline distT="0" distB="0" distL="0" distR="0" wp14:anchorId="0DA4B08D" wp14:editId="0215DA82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ztDA0MrIwNTY2MDFS0lEKTi0uzszPAykwrAUAMQxqpywAAAA="/>
  </w:docVars>
  <w:rsids>
    <w:rsidRoot w:val="005612FA"/>
    <w:rsid w:val="001263DD"/>
    <w:rsid w:val="002536FA"/>
    <w:rsid w:val="00350781"/>
    <w:rsid w:val="00526D42"/>
    <w:rsid w:val="005612FA"/>
    <w:rsid w:val="00582A68"/>
    <w:rsid w:val="005B6E89"/>
    <w:rsid w:val="00695EC0"/>
    <w:rsid w:val="006A38DA"/>
    <w:rsid w:val="006A5AD8"/>
    <w:rsid w:val="006F1FF7"/>
    <w:rsid w:val="007E6662"/>
    <w:rsid w:val="008D576E"/>
    <w:rsid w:val="00964E2B"/>
    <w:rsid w:val="009A2F27"/>
    <w:rsid w:val="009C5C76"/>
    <w:rsid w:val="00B31E65"/>
    <w:rsid w:val="00B75489"/>
    <w:rsid w:val="00C345E3"/>
    <w:rsid w:val="00C51242"/>
    <w:rsid w:val="00CA3620"/>
    <w:rsid w:val="00CB5392"/>
    <w:rsid w:val="00D35D96"/>
    <w:rsid w:val="00DE31EA"/>
    <w:rsid w:val="00E35C38"/>
    <w:rsid w:val="00F3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80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2F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2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2FA"/>
    <w:rPr>
      <w:sz w:val="22"/>
      <w:szCs w:val="22"/>
    </w:rPr>
  </w:style>
  <w:style w:type="table" w:styleId="TableGridLight">
    <w:name w:val="Grid Table Light"/>
    <w:basedOn w:val="TableNormal"/>
    <w:uiPriority w:val="40"/>
    <w:rsid w:val="005612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6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5612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A2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Jenny Williams</cp:lastModifiedBy>
  <cp:revision>2</cp:revision>
  <cp:lastPrinted>2017-09-01T00:43:00Z</cp:lastPrinted>
  <dcterms:created xsi:type="dcterms:W3CDTF">2020-02-08T06:49:00Z</dcterms:created>
  <dcterms:modified xsi:type="dcterms:W3CDTF">2020-02-08T06:49:00Z</dcterms:modified>
</cp:coreProperties>
</file>